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5D91"/>
          <w:sz w:val="30"/>
        </w:rPr>
        <w:t>Commune de Gagnières</w:t>
      </w:r>
    </w:p>
    <w:p>
      <w:pPr>
        <w:spacing w:after="20"/>
        <w:jc w:val="center"/>
      </w:pPr>
      <w:r>
        <w:rPr>
          <w:b/>
          <w:color w:val="26303A"/>
          <w:sz w:val="40"/>
        </w:rPr>
        <w:t>Schéma pluriannuel de mise en accessibilité numérique</w:t>
      </w:r>
    </w:p>
    <w:p>
      <w:pPr>
        <w:spacing w:after="160"/>
        <w:jc w:val="center"/>
      </w:pPr>
      <w:r>
        <w:rPr>
          <w:b/>
          <w:color w:val="1F5D91"/>
          <w:sz w:val="28"/>
        </w:rPr>
        <w:t>2026 – 2028</w:t>
      </w:r>
    </w:p>
    <w:p>
      <w:pPr>
        <w:pStyle w:val="Heading1"/>
      </w:pPr>
      <w:r>
        <w:t>1. Objet du schéma</w:t>
      </w:r>
    </w:p>
    <w:p>
      <w:r>
        <w:t>La commune de Gagnières s’engage à améliorer progressivement l’accessibilité de ses services numériques, conformément à l’article 47 de la loi n° 2005-102 du 11 février 2005 et au Référentiel général d’amélioration de l’accessibilité (RGAA).</w:t>
      </w:r>
    </w:p>
    <w:p>
      <w:r>
        <w:t>Le présent schéma pluriannuel fixe, pour la période 2026-2028, les orientations de la commune en matière d’accessibilité numérique et organise les actions de mise en conformité, de suivi et d’amélioration continue.</w:t>
      </w:r>
    </w:p>
    <w:p>
      <w:pPr>
        <w:pStyle w:val="Heading1"/>
      </w:pPr>
      <w:r>
        <w:t>2. Périmètre concerné</w:t>
      </w:r>
    </w:p>
    <w:p>
      <w:r>
        <w:t>Le schéma concerne en priorité le site internet officiel de la commune de Gagnières et les contenus numériques mis à disposition du public par l’intermédiaire de ce site.</w:t>
      </w:r>
    </w:p>
    <w:p>
      <w:r>
        <w:t>Il s’applique également, dans la mesure du possible, aux nouveaux contenus et documents publiés par la commune pendant la durée du schéma.</w:t>
      </w:r>
    </w:p>
    <w:p>
      <w:pPr>
        <w:pStyle w:val="Heading1"/>
      </w:pPr>
      <w:r>
        <w:t>3. Organisation et responsabilités</w:t>
      </w:r>
    </w:p>
    <w:tbl>
      <w:tblPr>
        <w:tblStyle w:val="TableGrid"/>
        <w:tblW w:type="auto" w:w="0"/>
        <w:jc w:val="center"/>
        <w:tblLook w:firstColumn="1" w:firstRow="1" w:lastColumn="0" w:lastRow="0" w:noHBand="0" w:noVBand="1" w:val="04A0"/>
      </w:tblPr>
      <w:tblGrid>
        <w:gridCol w:w="5100"/>
        <w:gridCol w:w="5100"/>
      </w:tblGrid>
      <w:tr>
        <w:trPr>
          <w:tblHeader/>
        </w:trPr>
        <w:tc>
          <w:tcPr>
            <w:tcW w:type="dxa" w:w="5100"/>
            <w:shd w:fill="DCEAF4"/>
            <w:tcMar>
              <w:top w:w="90" w:type="dxa"/>
              <w:start w:w="120" w:type="dxa"/>
              <w:bottom w:w="90" w:type="dxa"/>
              <w:end w:w="120" w:type="dxa"/>
            </w:tcMar>
          </w:tcPr>
          <w:p>
            <w:r>
              <w:t>Élément</w:t>
            </w:r>
          </w:p>
        </w:tc>
        <w:tc>
          <w:tcPr>
            <w:tcW w:type="dxa" w:w="5100"/>
            <w:shd w:fill="DCEAF4"/>
            <w:tcMar>
              <w:top w:w="90" w:type="dxa"/>
              <w:start w:w="120" w:type="dxa"/>
              <w:bottom w:w="90" w:type="dxa"/>
              <w:end w:w="120" w:type="dxa"/>
            </w:tcMar>
          </w:tcPr>
          <w:p>
            <w:r>
              <w:t>Organisation retenue</w:t>
            </w:r>
          </w:p>
        </w:tc>
      </w:tr>
      <w:tr>
        <w:trPr>
          <w:cantSplit/>
        </w:trPr>
        <w:tc>
          <w:tcPr>
            <w:tcW w:type="dxa" w:w="5100"/>
            <w:tcMar>
              <w:top w:w="90" w:type="dxa"/>
              <w:start w:w="120" w:type="dxa"/>
              <w:bottom w:w="90" w:type="dxa"/>
              <w:end w:w="120" w:type="dxa"/>
            </w:tcMar>
            <w:vAlign w:val="top"/>
          </w:tcPr>
          <w:p>
            <w:r>
              <w:t>Pilotage</w:t>
            </w:r>
          </w:p>
        </w:tc>
        <w:tc>
          <w:tcPr>
            <w:tcW w:type="dxa" w:w="5100"/>
            <w:tcMar>
              <w:top w:w="90" w:type="dxa"/>
              <w:start w:w="120" w:type="dxa"/>
              <w:bottom w:w="90" w:type="dxa"/>
              <w:end w:w="120" w:type="dxa"/>
            </w:tcMar>
            <w:vAlign w:val="top"/>
          </w:tcPr>
          <w:p>
            <w:r>
              <w:t>Le suivi de l’accessibilité numérique est placé sous la responsabilité de la commune de Gagnières.</w:t>
            </w:r>
          </w:p>
        </w:tc>
      </w:tr>
      <w:tr>
        <w:trPr>
          <w:cantSplit/>
        </w:trPr>
        <w:tc>
          <w:tcPr>
            <w:tcW w:type="dxa" w:w="5100"/>
            <w:tcMar>
              <w:top w:w="90" w:type="dxa"/>
              <w:start w:w="120" w:type="dxa"/>
              <w:bottom w:w="90" w:type="dxa"/>
              <w:end w:w="120" w:type="dxa"/>
            </w:tcMar>
            <w:vAlign w:val="top"/>
          </w:tcPr>
          <w:p>
            <w:r>
              <w:t>Référent accessibilité</w:t>
            </w:r>
          </w:p>
        </w:tc>
        <w:tc>
          <w:tcPr>
            <w:tcW w:type="dxa" w:w="5100"/>
            <w:tcMar>
              <w:top w:w="90" w:type="dxa"/>
              <w:start w:w="120" w:type="dxa"/>
              <w:bottom w:w="90" w:type="dxa"/>
              <w:end w:w="120" w:type="dxa"/>
            </w:tcMar>
            <w:vAlign w:val="top"/>
          </w:tcPr>
          <w:p>
            <w:r>
              <w:t>Bernard Durand, maire de Gagnières.</w:t>
            </w:r>
          </w:p>
        </w:tc>
      </w:tr>
      <w:tr>
        <w:trPr>
          <w:cantSplit/>
        </w:trPr>
        <w:tc>
          <w:tcPr>
            <w:tcW w:type="dxa" w:w="5100"/>
            <w:tcMar>
              <w:top w:w="90" w:type="dxa"/>
              <w:start w:w="120" w:type="dxa"/>
              <w:bottom w:w="90" w:type="dxa"/>
              <w:end w:w="120" w:type="dxa"/>
            </w:tcMar>
            <w:vAlign w:val="top"/>
          </w:tcPr>
          <w:p>
            <w:r>
              <w:t>Contact usagers</w:t>
            </w:r>
          </w:p>
        </w:tc>
        <w:tc>
          <w:tcPr>
            <w:tcW w:type="dxa" w:w="5100"/>
            <w:tcMar>
              <w:top w:w="90" w:type="dxa"/>
              <w:start w:w="120" w:type="dxa"/>
              <w:bottom w:w="90" w:type="dxa"/>
              <w:end w:w="120" w:type="dxa"/>
            </w:tcMar>
            <w:vAlign w:val="top"/>
          </w:tcPr>
          <w:p>
            <w:r>
              <w:t>mairie.gagnieres@laposte.net</w:t>
            </w:r>
          </w:p>
        </w:tc>
      </w:tr>
      <w:tr>
        <w:trPr>
          <w:cantSplit/>
        </w:trPr>
        <w:tc>
          <w:tcPr>
            <w:tcW w:type="dxa" w:w="5100"/>
            <w:tcMar>
              <w:top w:w="90" w:type="dxa"/>
              <w:start w:w="120" w:type="dxa"/>
              <w:bottom w:w="90" w:type="dxa"/>
              <w:end w:w="120" w:type="dxa"/>
            </w:tcMar>
            <w:vAlign w:val="top"/>
          </w:tcPr>
          <w:p>
            <w:r>
              <w:t>Appui technique</w:t>
            </w:r>
          </w:p>
        </w:tc>
        <w:tc>
          <w:tcPr>
            <w:tcW w:type="dxa" w:w="5100"/>
            <w:tcMar>
              <w:top w:w="90" w:type="dxa"/>
              <w:start w:w="120" w:type="dxa"/>
              <w:bottom w:w="90" w:type="dxa"/>
              <w:end w:w="120" w:type="dxa"/>
            </w:tcMar>
            <w:vAlign w:val="top"/>
          </w:tcPr>
          <w:p>
            <w:r>
              <w:t>L’intervenant technique accompagne la commune sur les bonnes pratiques liées au développement et aux évolutions du site, dans le cadre des interventions convenues.</w:t>
            </w:r>
          </w:p>
        </w:tc>
      </w:tr>
    </w:tbl>
    <w:p>
      <w:pPr>
        <w:pStyle w:val="Heading1"/>
      </w:pPr>
      <w:r>
        <w:t>4. Prise en compte de l’accessibilité dans les projets numériques</w:t>
      </w:r>
    </w:p>
    <w:p>
      <w:pPr>
        <w:pStyle w:val="ListBullet"/>
        <w:spacing w:after="40"/>
      </w:pPr>
      <w:r>
        <w:t>intégrer les bonnes pratiques d’accessibilité dès la conception et lors des évolutions du site ;</w:t>
      </w:r>
    </w:p>
    <w:p>
      <w:pPr>
        <w:pStyle w:val="ListBullet"/>
        <w:spacing w:after="40"/>
      </w:pPr>
      <w:r>
        <w:t>privilégier une structure HTML claire, une navigation au clavier, des contrastes suffisants et des formulaires compréhensibles ;</w:t>
      </w:r>
    </w:p>
    <w:p>
      <w:pPr>
        <w:pStyle w:val="ListBullet"/>
        <w:spacing w:after="40"/>
      </w:pPr>
      <w:r>
        <w:t>vérifier que les informations importantes ne sont pas transmises uniquement par une image, une couleur ou un élément visuel ;</w:t>
      </w:r>
    </w:p>
    <w:p>
      <w:pPr>
        <w:pStyle w:val="ListBullet"/>
        <w:spacing w:after="40"/>
      </w:pPr>
      <w:r>
        <w:t>prendre en compte l’accessibilité lors de l’ajout de nouvelles fonctionnalités ou de nouveaux services en ligne ;</w:t>
      </w:r>
    </w:p>
    <w:p>
      <w:pPr>
        <w:pStyle w:val="ListBullet"/>
        <w:spacing w:after="40"/>
      </w:pPr>
      <w:r>
        <w:t>prévoir, lorsque cela est pertinent, un contrôle d’accessibilité avant la mise en production d’une évolution importante.</w:t>
      </w:r>
    </w:p>
    <w:p>
      <w:pPr>
        <w:pStyle w:val="Heading1"/>
      </w:pPr>
      <w:r>
        <w:t>5. Contenus éditoriaux et documents</w:t>
      </w:r>
    </w:p>
    <w:p>
      <w:r>
        <w:t>La commune veille à ce que les contenus publiés restent compréhensibles et utilisables par le plus grand nombre. Une attention particulière est portée aux images, aux liens, aux titres de pages, aux documents téléchargeables et aux informations pratiques destinées aux administrés.</w:t>
      </w:r>
    </w:p>
    <w:p>
      <w:r>
        <w:t>Pour les nouveaux documents PDF ou bureautiques, la commune privilégiera, lorsque cela est possible, des documents issus de fichiers structurés avec du texte sélectionnable, des titres et un ordre de lecture logique. Une version HTML ou une autre alternative accessible pourra être proposée lorsque nécessaire.</w:t>
      </w:r>
    </w:p>
    <w:p>
      <w:pPr>
        <w:pStyle w:val="Heading1"/>
      </w:pPr>
      <w:r>
        <w:t>6. Évaluation et contrôle</w:t>
      </w:r>
    </w:p>
    <w:p>
      <w:r>
        <w:t>Un pré-audit technique du nouveau site est réalisé au cours de sa mise au point afin de corriger les principaux écarts d’accessibilité identifiables avant sa mise en ligne définitive.</w:t>
      </w:r>
    </w:p>
    <w:p>
      <w:r>
        <w:t>L’évaluation interne du site public a été achevée le 27 octobre 2026. Les résultats et limites sont présentés dans la déclaration d’accessibilité. Les contrôles seront actualisés en fonction des évolutions importantes et du suivi des contenus.</w:t>
      </w:r>
    </w:p>
    <w:p>
      <w:pPr>
        <w:pStyle w:val="Heading1"/>
      </w:pPr>
      <w:r>
        <w:t>7. Traitement des demandes des usagers</w:t>
      </w:r>
    </w:p>
    <w:p>
      <w:r>
        <w:t>La page « Accessibilité » du site permet aux usagers de connaître l’état de conformité du service et de signaler une difficulté d’accès à un contenu ou à une fonctionnalité.</w:t>
      </w:r>
    </w:p>
    <w:p>
      <w:r>
        <w:t>Les demandes reçues seront examinées par la commune. Lorsque cela est possible, une correction sera apportée ou une alternative accessible sera proposée.</w:t>
      </w:r>
    </w:p>
    <w:p>
      <w:pPr>
        <w:pStyle w:val="Heading1"/>
      </w:pPr>
      <w:r>
        <w:t>8. Ressources et moyens</w:t>
      </w:r>
    </w:p>
    <w:p>
      <w:r>
        <w:t>La commune de Gagnières est une petite collectivité et adapte ses actions aux moyens humains, techniques et financiers dont elle dispose. L’accessibilité est intégrée de manière progressive aux projets numériques, avec une priorité donnée aux contenus les plus consultés et aux services les plus utiles aux administrés.</w:t>
      </w:r>
    </w:p>
    <w:p>
      <w:r>
        <w:t>La commune peut s’appuyer sur des ressources externes lorsque des compétences spécialisées sont nécessaires, notamment pour l’audit de conformité ou pour certaines corrections techniques.</w:t>
      </w:r>
    </w:p>
    <w:p>
      <w:pPr>
        <w:pStyle w:val="Heading1"/>
      </w:pPr>
      <w:r>
        <w:t>9. Programmation 2026-2028</w:t>
      </w:r>
    </w:p>
    <w:tbl>
      <w:tblPr>
        <w:tblStyle w:val="TableGrid"/>
        <w:tblW w:type="auto" w:w="0"/>
        <w:jc w:val="center"/>
        <w:tblLook w:firstColumn="1" w:firstRow="1" w:lastColumn="0" w:lastRow="0" w:noHBand="0" w:noVBand="1" w:val="04A0"/>
      </w:tblPr>
      <w:tblGrid>
        <w:gridCol w:w="2550"/>
        <w:gridCol w:w="2550"/>
        <w:gridCol w:w="2550"/>
        <w:gridCol w:w="2550"/>
      </w:tblGrid>
      <w:tr>
        <w:trPr>
          <w:tblHeader/>
        </w:trPr>
        <w:tc>
          <w:tcPr>
            <w:tcW w:type="dxa" w:w="2550"/>
            <w:shd w:fill="DCEAF4"/>
            <w:tcMar>
              <w:top w:w="90" w:type="dxa"/>
              <w:start w:w="120" w:type="dxa"/>
              <w:bottom w:w="90" w:type="dxa"/>
              <w:end w:w="120" w:type="dxa"/>
            </w:tcMar>
          </w:tcPr>
          <w:p>
            <w:r>
              <w:t>Période</w:t>
            </w:r>
          </w:p>
        </w:tc>
        <w:tc>
          <w:tcPr>
            <w:tcW w:type="dxa" w:w="2550"/>
            <w:shd w:fill="DCEAF4"/>
            <w:tcMar>
              <w:top w:w="90" w:type="dxa"/>
              <w:start w:w="120" w:type="dxa"/>
              <w:bottom w:w="90" w:type="dxa"/>
              <w:end w:w="120" w:type="dxa"/>
            </w:tcMar>
          </w:tcPr>
          <w:p>
            <w:r>
              <w:t>Objectifs</w:t>
            </w:r>
          </w:p>
        </w:tc>
        <w:tc>
          <w:tcPr>
            <w:tcW w:type="dxa" w:w="2550"/>
            <w:shd w:fill="DCEAF4"/>
            <w:tcMar>
              <w:top w:w="90" w:type="dxa"/>
              <w:start w:w="120" w:type="dxa"/>
              <w:bottom w:w="90" w:type="dxa"/>
              <w:end w:w="120" w:type="dxa"/>
            </w:tcMar>
          </w:tcPr>
          <w:p>
            <w:r>
              <w:t>Actions principales</w:t>
            </w:r>
          </w:p>
        </w:tc>
        <w:tc>
          <w:tcPr>
            <w:tcW w:type="dxa" w:w="2550"/>
            <w:shd w:fill="DCEAF4"/>
            <w:tcMar>
              <w:top w:w="90" w:type="dxa"/>
              <w:start w:w="120" w:type="dxa"/>
              <w:bottom w:w="90" w:type="dxa"/>
              <w:end w:w="120" w:type="dxa"/>
            </w:tcMar>
          </w:tcPr>
          <w:p>
            <w:r>
              <w:t>Suivi</w:t>
            </w:r>
          </w:p>
        </w:tc>
      </w:tr>
      <w:tr>
        <w:trPr>
          <w:cantSplit/>
        </w:trPr>
        <w:tc>
          <w:tcPr>
            <w:tcW w:type="dxa" w:w="2550"/>
            <w:tcMar>
              <w:top w:w="80" w:type="dxa"/>
              <w:start w:w="90" w:type="dxa"/>
              <w:bottom w:w="80" w:type="dxa"/>
              <w:end w:w="90" w:type="dxa"/>
            </w:tcMar>
            <w:vAlign w:val="top"/>
          </w:tcPr>
          <w:p>
            <w:r>
              <w:t>2026</w:t>
            </w:r>
          </w:p>
        </w:tc>
        <w:tc>
          <w:tcPr>
            <w:tcW w:type="dxa" w:w="2550"/>
            <w:tcMar>
              <w:top w:w="80" w:type="dxa"/>
              <w:start w:w="90" w:type="dxa"/>
              <w:bottom w:w="80" w:type="dxa"/>
              <w:end w:w="90" w:type="dxa"/>
            </w:tcMar>
            <w:vAlign w:val="top"/>
          </w:tcPr>
          <w:p>
            <w:r>
              <w:t>Mettre en place le cadre d’accessibilité du nouveau site</w:t>
            </w:r>
          </w:p>
        </w:tc>
        <w:tc>
          <w:tcPr>
            <w:tcW w:type="dxa" w:w="2550"/>
            <w:tcMar>
              <w:top w:w="80" w:type="dxa"/>
              <w:start w:w="90" w:type="dxa"/>
              <w:bottom w:w="80" w:type="dxa"/>
              <w:end w:w="90" w:type="dxa"/>
            </w:tcMar>
            <w:vAlign w:val="top"/>
          </w:tcPr>
          <w:p>
            <w:r>
              <w:t>Création de la page Accessibilité ; publication du schéma pluriannuel et du plan d’action ; pré-audit du nouveau site ; corrections prioritaires ; désignation du référent.</w:t>
            </w:r>
          </w:p>
        </w:tc>
        <w:tc>
          <w:tcPr>
            <w:tcW w:type="dxa" w:w="2550"/>
            <w:tcMar>
              <w:top w:w="80" w:type="dxa"/>
              <w:start w:w="90" w:type="dxa"/>
              <w:bottom w:w="80" w:type="dxa"/>
              <w:end w:w="90" w:type="dxa"/>
            </w:tcMar>
            <w:vAlign w:val="top"/>
          </w:tcPr>
          <w:p>
            <w:r>
              <w:t>Bilan à la fin de l’année et mise à jour du plan d’action.</w:t>
            </w:r>
          </w:p>
        </w:tc>
      </w:tr>
      <w:tr>
        <w:trPr>
          <w:cantSplit/>
        </w:trPr>
        <w:tc>
          <w:tcPr>
            <w:tcW w:type="dxa" w:w="2550"/>
            <w:tcMar>
              <w:top w:w="80" w:type="dxa"/>
              <w:start w:w="90" w:type="dxa"/>
              <w:bottom w:w="80" w:type="dxa"/>
              <w:end w:w="90" w:type="dxa"/>
            </w:tcMar>
            <w:vAlign w:val="top"/>
          </w:tcPr>
          <w:p>
            <w:r>
              <w:t>2027</w:t>
            </w:r>
          </w:p>
        </w:tc>
        <w:tc>
          <w:tcPr>
            <w:tcW w:type="dxa" w:w="2550"/>
            <w:tcMar>
              <w:top w:w="80" w:type="dxa"/>
              <w:start w:w="90" w:type="dxa"/>
              <w:bottom w:w="80" w:type="dxa"/>
              <w:end w:w="90" w:type="dxa"/>
            </w:tcMar>
            <w:vAlign w:val="top"/>
          </w:tcPr>
          <w:p>
            <w:r>
              <w:t>Consolider la conformité et les pratiques éditoriales</w:t>
            </w:r>
          </w:p>
        </w:tc>
        <w:tc>
          <w:tcPr>
            <w:tcW w:type="dxa" w:w="2550"/>
            <w:tcMar>
              <w:top w:w="80" w:type="dxa"/>
              <w:start w:w="90" w:type="dxa"/>
              <w:bottom w:w="80" w:type="dxa"/>
              <w:end w:w="90" w:type="dxa"/>
            </w:tcMar>
            <w:vAlign w:val="top"/>
          </w:tcPr>
          <w:p>
            <w:r>
              <w:t>Actualisation des résultats de l’évaluation ; correction des écarts identifiés ; sensibilisation des personnes publiant des contenus ; suivi des nouveaux documents.</w:t>
            </w:r>
          </w:p>
        </w:tc>
        <w:tc>
          <w:tcPr>
            <w:tcW w:type="dxa" w:w="2550"/>
            <w:tcMar>
              <w:top w:w="80" w:type="dxa"/>
              <w:start w:w="90" w:type="dxa"/>
              <w:bottom w:w="80" w:type="dxa"/>
              <w:end w:w="90" w:type="dxa"/>
            </w:tcMar>
            <w:vAlign w:val="top"/>
          </w:tcPr>
          <w:p>
            <w:r>
              <w:t>Mise à jour annuelle des actions et priorités.</w:t>
            </w:r>
          </w:p>
        </w:tc>
      </w:tr>
      <w:tr>
        <w:trPr>
          <w:cantSplit/>
        </w:trPr>
        <w:tc>
          <w:tcPr>
            <w:tcW w:type="dxa" w:w="2550"/>
            <w:tcMar>
              <w:top w:w="80" w:type="dxa"/>
              <w:start w:w="90" w:type="dxa"/>
              <w:bottom w:w="80" w:type="dxa"/>
              <w:end w:w="90" w:type="dxa"/>
            </w:tcMar>
            <w:vAlign w:val="top"/>
          </w:tcPr>
          <w:p>
            <w:r>
              <w:t>2028</w:t>
            </w:r>
          </w:p>
        </w:tc>
        <w:tc>
          <w:tcPr>
            <w:tcW w:type="dxa" w:w="2550"/>
            <w:tcMar>
              <w:top w:w="80" w:type="dxa"/>
              <w:start w:w="90" w:type="dxa"/>
              <w:bottom w:w="80" w:type="dxa"/>
              <w:end w:w="90" w:type="dxa"/>
            </w:tcMar>
            <w:vAlign w:val="top"/>
          </w:tcPr>
          <w:p>
            <w:r>
              <w:t>Pérenniser l’accessibilité dans les évolutions du site</w:t>
            </w:r>
          </w:p>
        </w:tc>
        <w:tc>
          <w:tcPr>
            <w:tcW w:type="dxa" w:w="2550"/>
            <w:tcMar>
              <w:top w:w="80" w:type="dxa"/>
              <w:start w:w="90" w:type="dxa"/>
              <w:bottom w:w="80" w:type="dxa"/>
              <w:end w:w="90" w:type="dxa"/>
            </w:tcMar>
            <w:vAlign w:val="top"/>
          </w:tcPr>
          <w:p>
            <w:r>
              <w:t>Contrôle des évolutions importantes ; maintien des bonnes pratiques ; traitement des signalements ; préparation du schéma suivant.</w:t>
            </w:r>
          </w:p>
        </w:tc>
        <w:tc>
          <w:tcPr>
            <w:tcW w:type="dxa" w:w="2550"/>
            <w:tcMar>
              <w:top w:w="80" w:type="dxa"/>
              <w:start w:w="90" w:type="dxa"/>
              <w:bottom w:w="80" w:type="dxa"/>
              <w:end w:w="90" w:type="dxa"/>
            </w:tcMar>
            <w:vAlign w:val="top"/>
          </w:tcPr>
          <w:p>
            <w:r>
              <w:t>Bilan du schéma 2026-2028.</w:t>
            </w:r>
          </w:p>
        </w:tc>
      </w:tr>
    </w:tbl>
    <w:p>
      <w:r>
        <w:br w:type="page"/>
      </w:r>
    </w:p>
    <w:p>
      <w:pPr>
        <w:spacing w:after="160"/>
        <w:jc w:val="center"/>
      </w:pPr>
      <w:r>
        <w:rPr>
          <w:b/>
          <w:color w:val="26303A"/>
          <w:sz w:val="38"/>
        </w:rPr>
        <w:t>Plan d’action accessibilité numérique — 2026</w:t>
      </w:r>
    </w:p>
    <w:p>
      <w:pPr>
        <w:pStyle w:val="Heading1"/>
      </w:pPr>
      <w:r>
        <w:t>Objectif</w:t>
      </w:r>
    </w:p>
    <w:p>
      <w:r>
        <w:t>L’année 2026 est consacrée à la mise en place du nouveau site communal et à l’intégration des principales exigences d’accessibilité dès sa conception.</w:t>
      </w:r>
    </w:p>
    <w:tbl>
      <w:tblPr>
        <w:tblStyle w:val="TableGrid"/>
        <w:tblW w:type="auto" w:w="0"/>
        <w:jc w:val="center"/>
        <w:tblLook w:firstColumn="1" w:firstRow="1" w:lastColumn="0" w:lastRow="0" w:noHBand="0" w:noVBand="1" w:val="04A0"/>
      </w:tblPr>
      <w:tblGrid>
        <w:gridCol w:w="2550"/>
        <w:gridCol w:w="2550"/>
        <w:gridCol w:w="2550"/>
        <w:gridCol w:w="2550"/>
      </w:tblGrid>
      <w:tr>
        <w:trPr>
          <w:tblHeader/>
        </w:trPr>
        <w:tc>
          <w:tcPr>
            <w:tcW w:type="dxa" w:w="2550"/>
            <w:shd w:fill="DCEAF4"/>
            <w:tcMar>
              <w:top w:w="90" w:type="dxa"/>
              <w:start w:w="120" w:type="dxa"/>
              <w:bottom w:w="90" w:type="dxa"/>
              <w:end w:w="120" w:type="dxa"/>
            </w:tcMar>
          </w:tcPr>
          <w:p>
            <w:r>
              <w:t>Action</w:t>
            </w:r>
          </w:p>
        </w:tc>
        <w:tc>
          <w:tcPr>
            <w:tcW w:type="dxa" w:w="2550"/>
            <w:shd w:fill="DCEAF4"/>
            <w:tcMar>
              <w:top w:w="90" w:type="dxa"/>
              <w:start w:w="120" w:type="dxa"/>
              <w:bottom w:w="90" w:type="dxa"/>
              <w:end w:w="120" w:type="dxa"/>
            </w:tcMar>
          </w:tcPr>
          <w:p>
            <w:r>
              <w:t>État</w:t>
            </w:r>
          </w:p>
        </w:tc>
        <w:tc>
          <w:tcPr>
            <w:tcW w:type="dxa" w:w="2550"/>
            <w:shd w:fill="DCEAF4"/>
            <w:tcMar>
              <w:top w:w="90" w:type="dxa"/>
              <w:start w:w="120" w:type="dxa"/>
              <w:bottom w:w="90" w:type="dxa"/>
              <w:end w:w="120" w:type="dxa"/>
            </w:tcMar>
          </w:tcPr>
          <w:p>
            <w:r>
              <w:t>Responsable</w:t>
            </w:r>
          </w:p>
        </w:tc>
        <w:tc>
          <w:tcPr>
            <w:tcW w:type="dxa" w:w="2550"/>
            <w:shd w:fill="DCEAF4"/>
            <w:tcMar>
              <w:top w:w="90" w:type="dxa"/>
              <w:start w:w="120" w:type="dxa"/>
              <w:bottom w:w="90" w:type="dxa"/>
              <w:end w:w="120" w:type="dxa"/>
            </w:tcMar>
          </w:tcPr>
          <w:p>
            <w:r>
              <w:t>Échéance / suivi</w:t>
            </w:r>
          </w:p>
        </w:tc>
      </w:tr>
      <w:tr>
        <w:trPr>
          <w:cantSplit/>
        </w:trPr>
        <w:tc>
          <w:tcPr>
            <w:tcW w:type="dxa" w:w="2550"/>
            <w:tcMar>
              <w:top w:w="80" w:type="dxa"/>
              <w:start w:w="90" w:type="dxa"/>
              <w:bottom w:w="80" w:type="dxa"/>
              <w:end w:w="90" w:type="dxa"/>
            </w:tcMar>
            <w:vAlign w:val="top"/>
          </w:tcPr>
          <w:p>
            <w:r>
              <w:t>Créer une page Accessibilité avec l’état de conformité du site</w:t>
            </w:r>
          </w:p>
        </w:tc>
        <w:tc>
          <w:tcPr>
            <w:tcW w:type="dxa" w:w="2550"/>
            <w:tcMar>
              <w:top w:w="80" w:type="dxa"/>
              <w:start w:w="90" w:type="dxa"/>
              <w:bottom w:w="80" w:type="dxa"/>
              <w:end w:w="90" w:type="dxa"/>
            </w:tcMar>
            <w:vAlign w:val="top"/>
          </w:tcPr>
          <w:p>
            <w:r>
              <w:t>Réalisé au 26 octobre 2026</w:t>
            </w:r>
          </w:p>
        </w:tc>
        <w:tc>
          <w:tcPr>
            <w:tcW w:type="dxa" w:w="2550"/>
            <w:tcMar>
              <w:top w:w="80" w:type="dxa"/>
              <w:start w:w="90" w:type="dxa"/>
              <w:bottom w:w="80" w:type="dxa"/>
              <w:end w:w="90" w:type="dxa"/>
            </w:tcMar>
            <w:vAlign w:val="top"/>
          </w:tcPr>
          <w:p>
            <w:r>
              <w:t>Commune + intervenant technique</w:t>
            </w:r>
          </w:p>
        </w:tc>
        <w:tc>
          <w:tcPr>
            <w:tcW w:type="dxa" w:w="2550"/>
            <w:tcMar>
              <w:top w:w="80" w:type="dxa"/>
              <w:start w:w="90" w:type="dxa"/>
              <w:bottom w:w="80" w:type="dxa"/>
              <w:end w:w="90" w:type="dxa"/>
            </w:tcMar>
            <w:vAlign w:val="top"/>
          </w:tcPr>
          <w:p>
            <w:r>
              <w:t>Avant mise en ligne définitive</w:t>
            </w:r>
          </w:p>
        </w:tc>
      </w:tr>
      <w:tr>
        <w:trPr>
          <w:cantSplit/>
        </w:trPr>
        <w:tc>
          <w:tcPr>
            <w:tcW w:type="dxa" w:w="2550"/>
            <w:tcMar>
              <w:top w:w="80" w:type="dxa"/>
              <w:start w:w="90" w:type="dxa"/>
              <w:bottom w:w="80" w:type="dxa"/>
              <w:end w:w="90" w:type="dxa"/>
            </w:tcMar>
            <w:vAlign w:val="top"/>
          </w:tcPr>
          <w:p>
            <w:r>
              <w:t>Publier le schéma pluriannuel et le plan d’action annuel</w:t>
            </w:r>
          </w:p>
        </w:tc>
        <w:tc>
          <w:tcPr>
            <w:tcW w:type="dxa" w:w="2550"/>
            <w:tcMar>
              <w:top w:w="80" w:type="dxa"/>
              <w:start w:w="90" w:type="dxa"/>
              <w:bottom w:w="80" w:type="dxa"/>
              <w:end w:w="90" w:type="dxa"/>
            </w:tcMar>
            <w:vAlign w:val="top"/>
          </w:tcPr>
          <w:p>
            <w:r>
              <w:t>Réalisé au 26 octobre 2026</w:t>
            </w:r>
          </w:p>
        </w:tc>
        <w:tc>
          <w:tcPr>
            <w:tcW w:type="dxa" w:w="2550"/>
            <w:tcMar>
              <w:top w:w="80" w:type="dxa"/>
              <w:start w:w="90" w:type="dxa"/>
              <w:bottom w:w="80" w:type="dxa"/>
              <w:end w:w="90" w:type="dxa"/>
            </w:tcMar>
            <w:vAlign w:val="top"/>
          </w:tcPr>
          <w:p>
            <w:r>
              <w:t>Commune</w:t>
            </w:r>
          </w:p>
        </w:tc>
        <w:tc>
          <w:tcPr>
            <w:tcW w:type="dxa" w:w="2550"/>
            <w:tcMar>
              <w:top w:w="80" w:type="dxa"/>
              <w:start w:w="90" w:type="dxa"/>
              <w:bottom w:w="80" w:type="dxa"/>
              <w:end w:w="90" w:type="dxa"/>
            </w:tcMar>
            <w:vAlign w:val="top"/>
          </w:tcPr>
          <w:p>
            <w:r>
              <w:t>2026</w:t>
            </w:r>
          </w:p>
        </w:tc>
      </w:tr>
      <w:tr>
        <w:trPr>
          <w:cantSplit/>
        </w:trPr>
        <w:tc>
          <w:tcPr>
            <w:tcW w:type="dxa" w:w="2550"/>
            <w:tcMar>
              <w:top w:w="80" w:type="dxa"/>
              <w:start w:w="90" w:type="dxa"/>
              <w:bottom w:w="80" w:type="dxa"/>
              <w:end w:w="90" w:type="dxa"/>
            </w:tcMar>
            <w:vAlign w:val="top"/>
          </w:tcPr>
          <w:p>
            <w:r>
              <w:t>Désigner un référent accessibilité numérique</w:t>
            </w:r>
          </w:p>
        </w:tc>
        <w:tc>
          <w:tcPr>
            <w:tcW w:type="dxa" w:w="2550"/>
            <w:tcMar>
              <w:top w:w="80" w:type="dxa"/>
              <w:start w:w="90" w:type="dxa"/>
              <w:bottom w:w="80" w:type="dxa"/>
              <w:end w:w="90" w:type="dxa"/>
            </w:tcMar>
            <w:vAlign w:val="top"/>
          </w:tcPr>
          <w:p>
            <w:r>
              <w:t>Réalisé au 26 octobre 2026</w:t>
            </w:r>
          </w:p>
        </w:tc>
        <w:tc>
          <w:tcPr>
            <w:tcW w:type="dxa" w:w="2550"/>
            <w:tcMar>
              <w:top w:w="80" w:type="dxa"/>
              <w:start w:w="90" w:type="dxa"/>
              <w:bottom w:w="80" w:type="dxa"/>
              <w:end w:w="90" w:type="dxa"/>
            </w:tcMar>
            <w:vAlign w:val="top"/>
          </w:tcPr>
          <w:p>
            <w:r>
              <w:t>Commune</w:t>
            </w:r>
          </w:p>
        </w:tc>
        <w:tc>
          <w:tcPr>
            <w:tcW w:type="dxa" w:w="2550"/>
            <w:tcMar>
              <w:top w:w="80" w:type="dxa"/>
              <w:start w:w="90" w:type="dxa"/>
              <w:bottom w:w="80" w:type="dxa"/>
              <w:end w:w="90" w:type="dxa"/>
            </w:tcMar>
            <w:vAlign w:val="top"/>
          </w:tcPr>
          <w:p>
            <w:r>
              <w:t>2026</w:t>
            </w:r>
          </w:p>
        </w:tc>
      </w:tr>
      <w:tr>
        <w:trPr>
          <w:cantSplit/>
        </w:trPr>
        <w:tc>
          <w:tcPr>
            <w:tcW w:type="dxa" w:w="2550"/>
            <w:tcMar>
              <w:top w:w="80" w:type="dxa"/>
              <w:start w:w="90" w:type="dxa"/>
              <w:bottom w:w="80" w:type="dxa"/>
              <w:end w:w="90" w:type="dxa"/>
            </w:tcMar>
            <w:vAlign w:val="top"/>
          </w:tcPr>
          <w:p>
            <w:r>
              <w:t>Réaliser un pré-audit technique du nouveau site</w:t>
            </w:r>
          </w:p>
        </w:tc>
        <w:tc>
          <w:tcPr>
            <w:tcW w:type="dxa" w:w="2550"/>
            <w:tcMar>
              <w:top w:w="80" w:type="dxa"/>
              <w:start w:w="90" w:type="dxa"/>
              <w:bottom w:w="80" w:type="dxa"/>
              <w:end w:w="90" w:type="dxa"/>
            </w:tcMar>
            <w:vAlign w:val="top"/>
          </w:tcPr>
          <w:p>
            <w:r>
              <w:t>Réalisé au 26 octobre 2026</w:t>
            </w:r>
          </w:p>
        </w:tc>
        <w:tc>
          <w:tcPr>
            <w:tcW w:type="dxa" w:w="2550"/>
            <w:tcMar>
              <w:top w:w="80" w:type="dxa"/>
              <w:start w:w="90" w:type="dxa"/>
              <w:bottom w:w="80" w:type="dxa"/>
              <w:end w:w="90" w:type="dxa"/>
            </w:tcMar>
            <w:vAlign w:val="top"/>
          </w:tcPr>
          <w:p>
            <w:r>
              <w:t>Intervenant technique</w:t>
            </w:r>
          </w:p>
        </w:tc>
        <w:tc>
          <w:tcPr>
            <w:tcW w:type="dxa" w:w="2550"/>
            <w:tcMar>
              <w:top w:w="80" w:type="dxa"/>
              <w:start w:w="90" w:type="dxa"/>
              <w:bottom w:w="80" w:type="dxa"/>
              <w:end w:w="90" w:type="dxa"/>
            </w:tcMar>
            <w:vAlign w:val="top"/>
          </w:tcPr>
          <w:p>
            <w:r>
              <w:t>Avant mise en ligne définitive</w:t>
            </w:r>
          </w:p>
        </w:tc>
      </w:tr>
      <w:tr>
        <w:trPr>
          <w:cantSplit/>
        </w:trPr>
        <w:tc>
          <w:tcPr>
            <w:tcW w:type="dxa" w:w="2550"/>
            <w:tcMar>
              <w:top w:w="80" w:type="dxa"/>
              <w:start w:w="90" w:type="dxa"/>
              <w:bottom w:w="80" w:type="dxa"/>
              <w:end w:w="90" w:type="dxa"/>
            </w:tcMar>
            <w:vAlign w:val="top"/>
          </w:tcPr>
          <w:p>
            <w:r>
              <w:t>Corriger les écarts techniques prioritaires identifiés lors du pré-audit</w:t>
            </w:r>
          </w:p>
        </w:tc>
        <w:tc>
          <w:tcPr>
            <w:tcW w:type="dxa" w:w="2550"/>
            <w:tcMar>
              <w:top w:w="80" w:type="dxa"/>
              <w:start w:w="90" w:type="dxa"/>
              <w:bottom w:w="80" w:type="dxa"/>
              <w:end w:w="90" w:type="dxa"/>
            </w:tcMar>
            <w:vAlign w:val="top"/>
          </w:tcPr>
          <w:p>
            <w:r>
              <w:t>Réalisé au 26 octobre 2026</w:t>
            </w:r>
          </w:p>
        </w:tc>
        <w:tc>
          <w:tcPr>
            <w:tcW w:type="dxa" w:w="2550"/>
            <w:tcMar>
              <w:top w:w="80" w:type="dxa"/>
              <w:start w:w="90" w:type="dxa"/>
              <w:bottom w:w="80" w:type="dxa"/>
              <w:end w:w="90" w:type="dxa"/>
            </w:tcMar>
            <w:vAlign w:val="top"/>
          </w:tcPr>
          <w:p>
            <w:r>
              <w:t>Intervenant technique</w:t>
            </w:r>
          </w:p>
        </w:tc>
        <w:tc>
          <w:tcPr>
            <w:tcW w:type="dxa" w:w="2550"/>
            <w:tcMar>
              <w:top w:w="80" w:type="dxa"/>
              <w:start w:w="90" w:type="dxa"/>
              <w:bottom w:w="80" w:type="dxa"/>
              <w:end w:w="90" w:type="dxa"/>
            </w:tcMar>
            <w:vAlign w:val="top"/>
          </w:tcPr>
          <w:p>
            <w:r>
              <w:t>Avant / après mise en ligne selon priorité</w:t>
            </w:r>
          </w:p>
        </w:tc>
      </w:tr>
      <w:tr>
        <w:trPr>
          <w:cantSplit/>
        </w:trPr>
        <w:tc>
          <w:tcPr>
            <w:tcW w:type="dxa" w:w="2550"/>
            <w:tcMar>
              <w:top w:w="80" w:type="dxa"/>
              <w:start w:w="90" w:type="dxa"/>
              <w:bottom w:w="80" w:type="dxa"/>
              <w:end w:w="90" w:type="dxa"/>
            </w:tcMar>
            <w:vAlign w:val="top"/>
          </w:tcPr>
          <w:p>
            <w:r>
              <w:t>Mettre en place un moyen de signalement des difficultés d’accessibilité</w:t>
            </w:r>
          </w:p>
        </w:tc>
        <w:tc>
          <w:tcPr>
            <w:tcW w:type="dxa" w:w="2550"/>
            <w:tcMar>
              <w:top w:w="80" w:type="dxa"/>
              <w:start w:w="90" w:type="dxa"/>
              <w:bottom w:w="80" w:type="dxa"/>
              <w:end w:w="90" w:type="dxa"/>
            </w:tcMar>
            <w:vAlign w:val="top"/>
          </w:tcPr>
          <w:p>
            <w:r>
              <w:t>Réalisé au 26 octobre 2026</w:t>
            </w:r>
          </w:p>
        </w:tc>
        <w:tc>
          <w:tcPr>
            <w:tcW w:type="dxa" w:w="2550"/>
            <w:tcMar>
              <w:top w:w="80" w:type="dxa"/>
              <w:start w:w="90" w:type="dxa"/>
              <w:bottom w:w="80" w:type="dxa"/>
              <w:end w:w="90" w:type="dxa"/>
            </w:tcMar>
            <w:vAlign w:val="top"/>
          </w:tcPr>
          <w:p>
            <w:r>
              <w:t>Commune + intervenant technique</w:t>
            </w:r>
          </w:p>
        </w:tc>
        <w:tc>
          <w:tcPr>
            <w:tcW w:type="dxa" w:w="2550"/>
            <w:tcMar>
              <w:top w:w="80" w:type="dxa"/>
              <w:start w:w="90" w:type="dxa"/>
              <w:bottom w:w="80" w:type="dxa"/>
              <w:end w:w="90" w:type="dxa"/>
            </w:tcMar>
            <w:vAlign w:val="top"/>
          </w:tcPr>
          <w:p>
            <w:r>
              <w:t>2026</w:t>
            </w:r>
          </w:p>
        </w:tc>
      </w:tr>
      <w:tr>
        <w:trPr>
          <w:cantSplit/>
        </w:trPr>
        <w:tc>
          <w:tcPr>
            <w:tcW w:type="dxa" w:w="2550"/>
            <w:tcMar>
              <w:top w:w="80" w:type="dxa"/>
              <w:start w:w="90" w:type="dxa"/>
              <w:bottom w:w="80" w:type="dxa"/>
              <w:end w:w="90" w:type="dxa"/>
            </w:tcMar>
            <w:vAlign w:val="top"/>
          </w:tcPr>
          <w:p>
            <w:r>
              <w:t>Appliquer les bonnes pratiques aux nouveaux contenus et documents publiés</w:t>
            </w:r>
          </w:p>
        </w:tc>
        <w:tc>
          <w:tcPr>
            <w:tcW w:type="dxa" w:w="2550"/>
            <w:tcMar>
              <w:top w:w="80" w:type="dxa"/>
              <w:start w:w="90" w:type="dxa"/>
              <w:bottom w:w="80" w:type="dxa"/>
              <w:end w:w="90" w:type="dxa"/>
            </w:tcMar>
            <w:vAlign w:val="top"/>
          </w:tcPr>
          <w:p>
            <w:r>
              <w:t>Action continue</w:t>
            </w:r>
          </w:p>
        </w:tc>
        <w:tc>
          <w:tcPr>
            <w:tcW w:type="dxa" w:w="2550"/>
            <w:tcMar>
              <w:top w:w="80" w:type="dxa"/>
              <w:start w:w="90" w:type="dxa"/>
              <w:bottom w:w="80" w:type="dxa"/>
              <w:end w:w="90" w:type="dxa"/>
            </w:tcMar>
            <w:vAlign w:val="top"/>
          </w:tcPr>
          <w:p>
            <w:r>
              <w:t>Commune</w:t>
            </w:r>
          </w:p>
        </w:tc>
        <w:tc>
          <w:tcPr>
            <w:tcW w:type="dxa" w:w="2550"/>
            <w:tcMar>
              <w:top w:w="80" w:type="dxa"/>
              <w:start w:w="90" w:type="dxa"/>
              <w:bottom w:w="80" w:type="dxa"/>
              <w:end w:w="90" w:type="dxa"/>
            </w:tcMar>
            <w:vAlign w:val="top"/>
          </w:tcPr>
          <w:p>
            <w:r>
              <w:t>À partir de 2026</w:t>
            </w:r>
          </w:p>
        </w:tc>
      </w:tr>
      <w:tr>
        <w:trPr>
          <w:cantSplit/>
        </w:trPr>
        <w:tc>
          <w:tcPr>
            <w:tcW w:type="dxa" w:w="2550"/>
            <w:tcMar>
              <w:top w:w="80" w:type="dxa"/>
              <w:start w:w="90" w:type="dxa"/>
              <w:bottom w:w="80" w:type="dxa"/>
              <w:end w:w="90" w:type="dxa"/>
            </w:tcMar>
            <w:vAlign w:val="top"/>
          </w:tcPr>
          <w:p>
            <w:r>
              <w:t>Réaliser l’évaluation interne du site public</w:t>
            </w:r>
          </w:p>
        </w:tc>
        <w:tc>
          <w:tcPr>
            <w:tcW w:type="dxa" w:w="2550"/>
            <w:tcMar>
              <w:top w:w="80" w:type="dxa"/>
              <w:start w:w="90" w:type="dxa"/>
              <w:bottom w:w="80" w:type="dxa"/>
              <w:end w:w="90" w:type="dxa"/>
            </w:tcMar>
            <w:vAlign w:val="top"/>
          </w:tcPr>
          <w:p>
            <w:r>
              <w:t>Réalisé le 27 octobre 2026</w:t>
            </w:r>
          </w:p>
        </w:tc>
        <w:tc>
          <w:tcPr>
            <w:tcW w:type="dxa" w:w="2550"/>
            <w:tcMar>
              <w:top w:w="80" w:type="dxa"/>
              <w:start w:w="90" w:type="dxa"/>
              <w:bottom w:w="80" w:type="dxa"/>
              <w:end w:w="90" w:type="dxa"/>
            </w:tcMar>
            <w:vAlign w:val="top"/>
          </w:tcPr>
          <w:p>
            <w:r>
              <w:t>Commune et intervenant technique</w:t>
            </w:r>
          </w:p>
        </w:tc>
        <w:tc>
          <w:tcPr>
            <w:tcW w:type="dxa" w:w="2550"/>
            <w:tcMar>
              <w:top w:w="80" w:type="dxa"/>
              <w:start w:w="90" w:type="dxa"/>
              <w:bottom w:w="80" w:type="dxa"/>
              <w:end w:w="90" w:type="dxa"/>
            </w:tcMar>
            <w:vAlign w:val="top"/>
          </w:tcPr>
          <w:p>
            <w:r>
              <w:t>Suivi lors des évolutions importantes</w:t>
            </w:r>
          </w:p>
        </w:tc>
      </w:tr>
    </w:tbl>
    <w:p>
      <w:pPr>
        <w:pStyle w:val="Heading1"/>
      </w:pPr>
      <w:r>
        <w:t>Bilan et mise à jour</w:t>
      </w:r>
    </w:p>
    <w:p>
      <w:r>
        <w:t>Le présent plan d’action est réexaminé au moins une fois par an afin de tenir compte des actions réalisées, des éventuels signalements reçus, des évolutions du site et des moyens disponibles.</w:t>
      </w:r>
    </w:p>
    <w:p>
      <w:pPr>
        <w:pStyle w:val="Heading1"/>
      </w:pPr>
      <w:r>
        <w:t>Publication</w:t>
      </w:r>
    </w:p>
    <w:p>
      <w:r>
        <w:t>Le schéma pluriannuel et le plan d’action de l’année en cours sont publiés dans un format accessible sur le site internet de la commune et sont reliés depuis la page « Accessibilité ».</w:t>
      </w:r>
    </w:p>
    <w:p>
      <w:r>
        <w:t>Mise à jour du 27 octobre 2026 : évaluation interne du site public clôturée. Le taux de conformité mesuré est de 93,75 % (60 critères conformes sur 64 applicables), correspondant à une conformité partielle. Les 4 critères non conformes concernent les informations en image et les documents publiés ; leur traitement relève du suivi des contenus. Le suivi des signalements demeure une activité courante.</w:t>
      </w:r>
    </w:p>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E"/>
        <w:sz w:val="16"/>
      </w:rPr>
      <w:t>Commune de Gagnières — Schéma pluriannuel de mise en accessibilité numérique 2026-2028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630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